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tbl>
      <w:tblPr>
        <w:tblW w:w="9637" w:type="dxa"/>
        <w:jc w:val="left"/>
      </w:tblPr>
      <w:tblGrid>
        <w:gridCol w:w="9637"/>
      </w:tblGrid>
      <w:tr>
        <w:trPr>
          <w:trHeight w:val="0" w:hRule="atLeast"/>
        </w:trPr>
        <w:tc>
          <w:tcPr>
            <w:cnfStyle w:val="100010000000"/>
            <w:tcW w:w="9637" w:type="dxa"/>
            <w:gridSpan w:val="1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54" w:type="dxa"/>
              <w:left w:w="54" w:type="dxa"/>
              <w:right w:w="54" w:type="dxa"/>
            </w:tcMar>
            <w:vAlign w:val="top"/>
          </w:tcPr>
          <w:p>
            <w:pPr>
              <w:pStyle w:val="P5"/>
              <w:rPr/>
            </w:pPr>
            <w:r>
              <w:t xml:space="preserve">  VADEMECUM PER ORGANIZZATORI DI COMPETIZIONI MOTORISTICHE, CICLISTICHE, PODISTICHE ED A TRAZIONE ANIMALE</w:t>
            </w:r>
          </w:p>
          <w:p>
            <w:pPr>
              <w:pStyle w:val="P6"/>
              <w:rPr/>
            </w:pPr>
          </w:p>
          <w:p>
            <w:pPr>
              <w:pStyle w:val="P7"/>
              <w:rPr/>
            </w:pPr>
            <w:r>
              <w:t>L.R. 30/2015</w:t>
            </w:r>
          </w:p>
          <w:p>
            <w:pPr>
              <w:pStyle w:val="P8"/>
              <w:rPr/>
            </w:pPr>
            <w:r>
              <w:t xml:space="preserve"> D.G.R. n. 13/2022 e D.G.R. n. 866/2022</w:t>
            </w:r>
          </w:p>
          <w:p>
            <w:pPr>
              <w:pStyle w:val="P9"/>
              <w:rPr/>
            </w:pPr>
          </w:p>
        </w:tc>
      </w:tr>
    </w:tbl>
    <w:p>
      <w:pPr>
        <w:pStyle w:val="P10"/>
        <w:rPr/>
      </w:pPr>
    </w:p>
    <w:p>
      <w:pPr>
        <w:pStyle w:val="P11"/>
        <w:rPr/>
      </w:pPr>
    </w:p>
    <w:p>
      <w:pPr>
        <w:pStyle w:val="P12"/>
        <w:rPr/>
      </w:pPr>
      <w:r>
        <w:rPr>
          <w:rStyle w:val="T13"/>
        </w:rPr>
        <w:t>COMPETENZE REGIONALI</w:t>
      </w:r>
      <w:r>
        <w:rPr>
          <w:rStyle w:val="T13"/>
          <w:b/>
        </w:rPr>
        <w:t xml:space="preserve"> IN MATERIA DI VALUTAZIONE DI INCIDENZA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</w:pPr>
      <w:r>
        <w:rPr>
          <w:rStyle w:val="T13"/>
          <w:b/>
        </w:rPr>
        <w:t>Fasi: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</w:pPr>
      <w:r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  <w:t>1) Screening di Incidenza;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</w:pPr>
      <w:r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  <w:t>2) Valutazione appropriata;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</w:pPr>
      <w:r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  <w:t>3) Deroga ai sensi dell’art. 6.4: Valutazione delle soluzioni alternative e compensazioni.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</w:pPr>
      <w:r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  <w:t>COMPETENZE REGIONALI IN MATERIA RISERVE NATURALI REGIONALI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</w:pPr>
      <w:r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  <w:t xml:space="preserve"> 1)Nullaosta e/o autorizzazioni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</w:pPr>
      <w:r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  <w:t>La documentazione tecnica prodotta per la Valutazione di Incidenza ambientale</w:t>
      </w:r>
      <w:r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  <w:t xml:space="preserve">  e/o Nullaosta deve essere allegata all’istanza presentata alla Città Metropolitana/Provincia, per il rilascio dell’autorizzazione al transito ex art.9 CdS.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</w:pPr>
      <w:r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  <w:t xml:space="preserve"> La Regione Toscana rilascia competente parere  </w:t>
      </w:r>
      <w:r>
        <w:rPr>
          <w:rStyle w:val="T13"/>
          <w:b/>
          <w:u w:val="single"/>
        </w:rPr>
        <w:t>entro 60 gg.</w:t>
      </w:r>
      <w:r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  <w:t xml:space="preserve"> dal ricevimento della documentazione tecnica trasmessa dagli Uffici provinciali/metropolitani, prodotta per la Valutazione di Incidenza ambientale.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</w:pPr>
      <w:r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  <w:t xml:space="preserve"> L’istanza alla Regione</w:t>
      </w:r>
      <w:r>
        <w:rPr>
          <w:rStyle w:val="T13"/>
          <w:b/>
        </w:rPr>
        <w:t xml:space="preserve"> va </w:t>
      </w:r>
      <w:r>
        <w:rPr>
          <w:rStyle w:val="T13"/>
          <w:b/>
          <w:u w:val="single"/>
        </w:rPr>
        <w:t>sempre</w:t>
      </w:r>
      <w:r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  <w:t xml:space="preserve"> presentata sia nel caso di interessamento di Riserve Naturali Regionali, ai fini dell’acquisizione del relativo Nullaosta e/o Autorizzazione, che di Siti Natura 2000,</w:t>
      </w:r>
      <w:r>
        <w:rPr>
          <w:rStyle w:val="T13"/>
          <w:rFonts w:ascii="Liberation Serif" w:cs="Tahoma" w:eastAsia="Segoe UI" w:hAnsi="Liberation Serif"/>
          <w:b w:val="off"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lang w:val="it-IT"/>
        </w:rPr>
        <w:t xml:space="preserve"> ai fini dell’acquisizione delle specifiche prescrizioni per la Valutazione di Incidenza Ambientale.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lang w:val="it-IT"/>
        </w:rPr>
      </w:pPr>
      <w:r>
        <w:rPr>
          <w:rStyle w:val="T13"/>
          <w:rFonts w:ascii="Liberation Serif" w:cs="Tahoma" w:eastAsia="Segoe UI" w:hAnsi="Liberation Serif"/>
          <w:b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lang w:val="it-IT"/>
        </w:rPr>
        <w:t xml:space="preserve"> Per quanto attiene alla corresponsione di oneri istruttori</w:t>
      </w:r>
      <w:r>
        <w:rPr>
          <w:rStyle w:val="T13"/>
          <w:b/>
          <w:u w:val="single"/>
          <w:shd w:val="solid" w:color="ffffff" w:fill="ffffff"/>
        </w:rPr>
        <w:t xml:space="preserve"> alla Regione Toscana, si rimanda a quanto indicato nella DGRT 866/2022, Allegato 2;</w:t>
      </w:r>
      <w:r>
        <w:rPr>
          <w:rStyle w:val="T13"/>
          <w:b/>
          <w:u w:val="single"/>
          <w:shd w:val="solid" w:color="ffffff" w:fill="ffffff"/>
        </w:rPr>
        <w:t>la ricevuta del versamento di tali oneri deve essere allegata alla relativa documentazione tecnica.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>SCREENING DI INCIDENZA – CASI PARTICOLARI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b/>
          <w:u w:val="single"/>
          <w:shd w:val="solid" w:color="ffffff" w:fill="ffffff"/>
        </w:rPr>
        <w:t xml:space="preserve"> La Vinc  </w:t>
      </w:r>
      <w:r>
        <w:rPr>
          <w:rStyle w:val="T13"/>
          <w:b/>
          <w:u w:val="single"/>
          <w:shd w:val="solid" w:color="ffffff" w:fill="ffffff"/>
        </w:rPr>
        <w:t>NON</w:t>
      </w:r>
      <w:r>
        <w:rPr>
          <w:rStyle w:val="T13"/>
          <w:b/>
          <w:u w:val="single"/>
          <w:shd w:val="solid" w:color="ffffff" w:fill="ffffff"/>
        </w:rPr>
        <w:t xml:space="preserve"> va richiesta nei seguenti casi: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 xml:space="preserve"> 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>(Allegato A – pre-valutazioni)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>procedura semplificata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b/>
          <w:i/>
          <w:u w:val="single"/>
          <w:shd w:val="solid" w:color="ffffff" w:fill="ffffff"/>
        </w:rPr>
        <w:t xml:space="preserve"> Punto 2, lettera s)</w:t>
      </w:r>
      <w:r>
        <w:rPr>
          <w:rStyle w:val="T13"/>
          <w:rFonts w:ascii="Liberation Serif" w:cs="Tahoma" w:eastAsia="Segoe UI" w:hAnsi="Liberation Serif"/>
          <w:b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 xml:space="preserve"> nel caso di competizioni motoristiche che si svolgono</w:t>
      </w:r>
      <w:r>
        <w:rPr>
          <w:rStyle w:val="T13"/>
          <w:b/>
          <w:i/>
          <w:u w:val="single"/>
          <w:shd w:val="solid" w:color="ffffff" w:fill="ffffff"/>
        </w:rPr>
        <w:t>s</w:t>
      </w:r>
      <w:r>
        <w:rPr>
          <w:rStyle w:val="T13"/>
          <w:b/>
          <w:i/>
          <w:u w:val="single"/>
          <w:shd w:val="solid" w:color="ffffff" w:fill="ffffff"/>
        </w:rPr>
        <w:t>u strade a sfondo asfaltato aperte a</w:t>
      </w:r>
      <w:r>
        <w:rPr>
          <w:rStyle w:val="T13"/>
          <w:b/>
          <w:i/>
          <w:u w:val="single"/>
          <w:shd w:val="solid" w:color="ffffff" w:fill="ffffff"/>
        </w:rPr>
        <w:t>l traffico veicolare nel periodo compreso tra il 31 agosto e il 1 marzo</w:t>
      </w:r>
      <w:r>
        <w:rPr>
          <w:rStyle w:val="T13"/>
          <w:rFonts w:ascii="Liberation Serif" w:cs="Tahoma" w:eastAsia="Segoe UI" w:hAnsi="Liberation Serif"/>
          <w:b/>
          <w:i w:val="off"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>;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>(il provvedimento di autorizzazione rilasciato ex Art. 9 CdS dall'autorità competente, conterrà precise prescrizioni, indicate dallo stesso Punto 2, lettera s).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b/>
          <w:i/>
          <w:u w:val="single"/>
          <w:shd w:val="solid" w:color="ffffff" w:fill="ffffff"/>
        </w:rPr>
        <w:t>Punto 2, lettera t)</w:t>
      </w: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 xml:space="preserve"> nel caso di competizioni ciclistiche o podistiche che si svolgono</w:t>
      </w:r>
      <w:r>
        <w:rPr>
          <w:rStyle w:val="T13"/>
          <w:b/>
          <w:i/>
          <w:u w:val="single"/>
          <w:shd w:val="solid" w:color="ffffff" w:fill="ffffff"/>
        </w:rPr>
        <w:t xml:space="preserve"> su strade aperte al traffico veicolare, anche a fondo non asfaltato</w:t>
      </w:r>
      <w:r>
        <w:rPr>
          <w:rStyle w:val="T13"/>
          <w:b/>
          <w:i/>
          <w:u w:val="single"/>
          <w:shd w:val="solid" w:color="ffffff" w:fill="ffffff"/>
        </w:rPr>
        <w:t>;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 xml:space="preserve"> (il provvedimento di autorizzazione rilasciato ex Art. 9 CdS dall'autorità competente, conterrà precise prescrizioni,indicate dallo stesso Punto 2, lettera t), comprensive anche delle prescrizioni contenute alla precedente lettera s)).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b/>
          <w:i/>
          <w:u w:val="single"/>
          <w:shd w:val="solid" w:color="ffffff" w:fill="ffffff"/>
        </w:rPr>
        <w:t>Punto 2, lettera</w:t>
      </w:r>
      <w:r>
        <w:rPr>
          <w:rStyle w:val="T13"/>
          <w:b/>
          <w:i/>
          <w:u w:val="single"/>
          <w:shd w:val="solid" w:color="ffffff" w:fill="ffffff"/>
        </w:rPr>
        <w:t xml:space="preserve"> u)</w:t>
      </w: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 xml:space="preserve">  nel caso di competizioni ciclistiche o podistiche che interessano </w:t>
      </w:r>
      <w:r>
        <w:rPr>
          <w:rStyle w:val="T13"/>
          <w:b/>
          <w:i/>
          <w:u w:val="single"/>
          <w:shd w:val="solid" w:color="ffffff" w:fill="ffffff"/>
        </w:rPr>
        <w:t>piste, strade e sentieri già esistenti, anche a fondo non asfaltato</w:t>
      </w:r>
      <w:r>
        <w:rPr>
          <w:rStyle w:val="T13"/>
          <w:b/>
          <w:i/>
          <w:u w:val="single"/>
          <w:shd w:val="solid" w:color="ffffff" w:fill="ffffff"/>
        </w:rPr>
        <w:t>, nel periodo compreso</w:t>
      </w:r>
      <w:r>
        <w:rPr>
          <w:rStyle w:val="T13"/>
          <w:b/>
          <w:i/>
          <w:u w:val="single"/>
          <w:shd w:val="solid" w:color="ffffff" w:fill="ffffff"/>
        </w:rPr>
        <w:t xml:space="preserve"> tra il 31 agosto e il 1 marzo</w:t>
      </w: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>, a condizione che: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 xml:space="preserve"> - la durata delle stesse sia effettuata nelle </w:t>
      </w:r>
      <w:r>
        <w:rPr>
          <w:rStyle w:val="T13"/>
          <w:b/>
          <w:i/>
          <w:u w:val="single"/>
          <w:shd w:val="solid" w:color="ffffff" w:fill="ffffff"/>
        </w:rPr>
        <w:t>o</w:t>
      </w:r>
      <w:r>
        <w:rPr>
          <w:rStyle w:val="T13"/>
          <w:b/>
          <w:i/>
          <w:u w:val="single"/>
          <w:shd w:val="solid" w:color="ffffff" w:fill="ffffff"/>
        </w:rPr>
        <w:t>re diurne</w:t>
      </w:r>
      <w:r>
        <w:rPr>
          <w:rStyle w:val="T13"/>
          <w:b/>
          <w:i/>
          <w:u w:val="single"/>
          <w:shd w:val="solid" w:color="ffffff" w:fill="ffffff"/>
        </w:rPr>
        <w:t xml:space="preserve"> e limitata ad un'unica giornata</w:t>
      </w: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>;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 xml:space="preserve"> - prevedano un numero</w:t>
      </w:r>
      <w:r>
        <w:rPr>
          <w:rStyle w:val="T13"/>
          <w:b/>
          <w:i/>
          <w:u w:val="single"/>
          <w:shd w:val="solid" w:color="ffffff" w:fill="ffffff"/>
        </w:rPr>
        <w:t xml:space="preserve"> massimo di</w:t>
      </w:r>
      <w:r>
        <w:rPr>
          <w:rStyle w:val="T13"/>
          <w:b/>
          <w:i/>
          <w:u w:val="single"/>
          <w:shd w:val="solid" w:color="ffffff" w:fill="ffffff"/>
        </w:rPr>
        <w:t>150 partecipanti</w:t>
      </w: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>;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 xml:space="preserve"> - il percorso della manifestazione</w:t>
      </w:r>
      <w:r>
        <w:rPr>
          <w:rStyle w:val="T13"/>
          <w:b/>
          <w:i/>
          <w:u w:val="single"/>
          <w:shd w:val="solid" w:color="ffffff" w:fill="ffffff"/>
        </w:rPr>
        <w:t xml:space="preserve"> escluda </w:t>
      </w:r>
      <w:r>
        <w:rPr>
          <w:rStyle w:val="T13"/>
          <w:b/>
          <w:i/>
          <w:u w:val="single"/>
          <w:shd w:val="solid" w:color="ffffff" w:fill="ffffff"/>
        </w:rPr>
        <w:t>guadi di corsi d'acqua perenni</w:t>
      </w: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>;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 xml:space="preserve"> (anche qui il provvedimento di autorizzazione rilasciato ex Art. 9 CdS dall'autorità competente, conterrà precise prescrizioni, indicate dallo stesso Punto 2, lettera u), comprensive anche delle prescrizioni contenute alle precedenti lettere s) e t)).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 xml:space="preserve"> In tutti i casi su indicati di </w:t>
      </w:r>
      <w:r>
        <w:rPr>
          <w:rStyle w:val="T13"/>
          <w:b/>
          <w:i/>
          <w:u w:val="single"/>
          <w:shd w:val="solid" w:color="ffffff" w:fill="ffffff"/>
        </w:rPr>
        <w:t>attività prevalutate</w:t>
      </w: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>: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b/>
          <w:i/>
          <w:u w:val="single"/>
          <w:shd w:val="solid" w:color="ffffff" w:fill="ffffff"/>
        </w:rPr>
        <w:t xml:space="preserve"> gli Organizzatori,</w:t>
      </w:r>
      <w:r>
        <w:rPr>
          <w:rStyle w:val="T13"/>
          <w:b/>
          <w:i/>
          <w:u w:val="single"/>
          <w:shd w:val="solid" w:color="ffffff" w:fill="ffffff"/>
        </w:rPr>
        <w:t xml:space="preserve"> hanno l’onere di compilare correttamente</w:t>
      </w:r>
      <w:r>
        <w:rPr>
          <w:rStyle w:val="T13"/>
          <w:b/>
          <w:i/>
          <w:u w:val="single"/>
          <w:shd w:val="solid" w:color="ffffff" w:fill="ffffff"/>
        </w:rPr>
        <w:t>“l’Allegato 1 – proponente” (campi 1,2,3,8) alla DGR 866/22</w:t>
      </w:r>
      <w:r>
        <w:rPr>
          <w:rStyle w:val="T13"/>
          <w:b/>
          <w:i/>
          <w:u w:val="single"/>
          <w:shd w:val="solid" w:color="ffffff" w:fill="ffffff"/>
        </w:rPr>
        <w:t xml:space="preserve"> e di inviarlo alla Città Metropolitana/Provincia in sede di richiesta di autorizzazione ex art. 9 CdS; la Città Metropolitana/Provincia effettua la “verifi</w:t>
      </w:r>
      <w:r>
        <w:rPr>
          <w:rStyle w:val="T13"/>
          <w:b/>
          <w:i/>
          <w:u w:val="single"/>
          <w:shd w:val="solid" w:color="ffffff" w:fill="ffffff"/>
        </w:rPr>
        <w:t xml:space="preserve"> ca di corrispondenza”, ovvero verifica la conformità dell’istanza con i casi ricompresi nella DGR 13/2022 – Allegato A, Punto 2 e ne darà atto nell'autorizzazione indicando le prescrizioni del caso.</w:t>
      </w:r>
      <w:r>
        <w:rPr>
          <w:rStyle w:val="T13"/>
          <w:b/>
          <w:i/>
          <w:u w:val="single"/>
          <w:shd w:val="solid" w:color="ffffff" w:fill="ffffff"/>
        </w:rPr>
        <w:t>Non sono dovuti oneri.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 xml:space="preserve"> (Allegato A – Punto 4, Attività ricorrenti)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>procedura semplificata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 xml:space="preserve"> Per attività ricorrenti si intendono, quelle realizzate e concluse in anni precedenti e che vengono riproposte </w:t>
      </w:r>
      <w:r>
        <w:rPr>
          <w:rStyle w:val="T13"/>
          <w:b/>
          <w:i/>
          <w:u w:val="single"/>
          <w:shd w:val="solid" w:color="ffffff" w:fill="ffffff"/>
        </w:rPr>
        <w:t>con le medesime modalità</w:t>
      </w: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>, oltre che già assoggettate a procedimento di valutazione di incidenza con esito positivo rilasciato in data</w:t>
      </w:r>
      <w:r>
        <w:rPr>
          <w:rStyle w:val="T13"/>
          <w:b/>
          <w:i/>
          <w:u w:val="single"/>
          <w:shd w:val="solid" w:color="ffffff" w:fill="ffffff"/>
        </w:rPr>
        <w:t xml:space="preserve">  non antecedente a cinque anni </w:t>
      </w: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>rispetto alla presentazione dell'istanza in esame a patto che: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>- non siano intervenute modifiche normative o regolamentari;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 xml:space="preserve"> - le modalità di esecuzione, il periodo di svolgimento e l'ubicazione sianorimasti invariati rispetto alla precedente valutazione con esito positivo;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 xml:space="preserve"> - non siano emersi nuovi elementi conoscitivi sulle emergenze naturalistiche presenti nell’area protetta interessata;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b/>
          <w:i/>
          <w:u w:val="single"/>
          <w:shd w:val="solid" w:color="ffffff" w:fill="ffffff"/>
        </w:rPr>
        <w:t>Anche in questo caso, gli Organizzatori hanno l’onere di comp</w:t>
      </w:r>
      <w:r>
        <w:rPr>
          <w:rStyle w:val="T13"/>
          <w:b/>
          <w:i/>
          <w:u w:val="single"/>
          <w:shd w:val="solid" w:color="ffffff" w:fill="ffffff"/>
        </w:rPr>
        <w:t xml:space="preserve"> ilare correttamente</w:t>
      </w:r>
      <w:r>
        <w:rPr>
          <w:rStyle w:val="T13"/>
          <w:b/>
          <w:i/>
          <w:u w:val="single"/>
          <w:shd w:val="solid" w:color="ffffff" w:fill="ffffff"/>
        </w:rPr>
        <w:t>“l’Allegato 1 – proponente” (campi 1,2,4) alla DGR 866/22</w:t>
      </w:r>
      <w:r>
        <w:rPr>
          <w:rStyle w:val="T13"/>
          <w:b/>
          <w:i/>
          <w:u w:val="single"/>
          <w:shd w:val="solid" w:color="ffffff" w:fill="ffffff"/>
        </w:rPr>
        <w:t xml:space="preserve">  ed inviarlo alla Città Metropolitana/Provincia in sede di richiesta di autorizzazione ex art. 9 CdS;</w:t>
      </w:r>
      <w:r>
        <w:rPr>
          <w:rStyle w:val="T13"/>
          <w:b/>
          <w:i/>
          <w:u w:val="single"/>
          <w:shd w:val="solid" w:color="ffffff" w:fill="ffffff"/>
        </w:rPr>
        <w:t xml:space="preserve">   gli uffici metropolitani/provinciali, in fase istruttoria, trasmettono la documentazione ricevuta dagli organizzatori agli uffici regionali preposti che ne verificano la corrispondenza con VincA già emanate.</w:t>
      </w:r>
      <w:r>
        <w:rPr>
          <w:rStyle w:val="T13"/>
          <w:b/>
          <w:i/>
          <w:u w:val="single"/>
          <w:shd w:val="solid" w:color="ffffff" w:fill="ffffff"/>
        </w:rPr>
        <w:t>Non sono dovuti oneri.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hd w:val="solid" w:color="ffffff" w:fill="ffffff"/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hd w:val="solid" w:color="ffffff" w:fill="ffffff"/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  <w:t>NOTE A MARGINE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00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b/>
          <w:i/>
          <w:u w:val="single"/>
          <w:shd w:val="solid" w:color="ffffff" w:fill="ffffff"/>
        </w:rPr>
        <w:t xml:space="preserve"> - In </w:t>
      </w:r>
      <w:r>
        <w:rPr>
          <w:rStyle w:val="T13"/>
          <w:b/>
          <w:i/>
          <w:u w:val="single"/>
          <w:shd w:val="solid" w:color="ffffff" w:fill="ffffff"/>
        </w:rPr>
        <w:t>caso di competizione sportiva il cui percorso interessi più Province toscane, come noto, la Provincia con l’estesa chilometrica maggiore rilascia l’atto autorizzativo finale, previo ottenimento del competente Nullaosta</w:t>
      </w:r>
      <w:r>
        <w:rPr>
          <w:rStyle w:val="T13"/>
          <w:b/>
          <w:i/>
          <w:color w:val="0000ff"/>
          <w:u w:val="single"/>
          <w:shd w:val="solid" w:color="ffffff" w:fill="ffffff"/>
        </w:rPr>
        <w:t xml:space="preserve"> da parte delle altre Province intere</w:t>
      </w:r>
      <w:r>
        <w:rPr>
          <w:rStyle w:val="T13"/>
          <w:b/>
          <w:i/>
          <w:color w:val="0000ff"/>
          <w:u w:val="single"/>
          <w:shd w:val="solid" w:color="ffffff" w:fill="ffffff"/>
        </w:rPr>
        <w:t>ssate; analogamente, è competenza dell’ente che rilascia l’atto autorizzativo finale, istruire quanto relativo alla normativa regionale in oggetto. Pertanto, la documentazione inerente l’interessamento del percorso di gara in qualunque territorio provinci</w:t>
      </w:r>
      <w:r>
        <w:rPr>
          <w:rStyle w:val="T13"/>
          <w:b/>
          <w:i/>
          <w:color w:val="0000ff"/>
          <w:u w:val="single"/>
          <w:shd w:val="solid" w:color="ffffff" w:fill="ffffff"/>
        </w:rPr>
        <w:t>ale e di qualunque tipologia di area protetta, va inviata alla sola Provincia che emana l’atto finale.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hd w:val="solid" w:color="ffffff" w:fill="ffffff"/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ff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ff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b/>
          <w:i/>
          <w:color w:val="0000ff"/>
          <w:u w:val="single"/>
          <w:shd w:val="solid" w:color="ffffff" w:fill="ffffff"/>
        </w:rPr>
        <w:t xml:space="preserve"> - In caso di manifestazioni sportive </w:t>
      </w:r>
      <w:r>
        <w:rPr>
          <w:rStyle w:val="T13"/>
          <w:b/>
          <w:i/>
          <w:color w:val="0000ff"/>
          <w:u w:val="single"/>
          <w:shd w:val="solid" w:color="ffffff" w:fill="ffffff"/>
        </w:rPr>
        <w:t>non competitive</w:t>
      </w:r>
      <w:r>
        <w:rPr>
          <w:rStyle w:val="T13"/>
          <w:b/>
          <w:i/>
          <w:color w:val="0000ff"/>
          <w:u w:val="single"/>
          <w:shd w:val="solid" w:color="ffffff" w:fill="ffffff"/>
        </w:rPr>
        <w:t xml:space="preserve">  il cui percorso interessi qualunque tipologia di area protetta della Regione Toscana,</w:t>
      </w:r>
      <w:r>
        <w:rPr>
          <w:rStyle w:val="T13"/>
          <w:b/>
          <w:i/>
          <w:color w:val="0000ff"/>
          <w:u w:val="single"/>
          <w:shd w:val="solid" w:color="ffffff" w:fill="ffffff"/>
        </w:rPr>
        <w:t>NULLA COMPETE</w:t>
      </w:r>
      <w:r>
        <w:rPr>
          <w:rStyle w:val="T13"/>
          <w:b/>
          <w:i/>
          <w:color w:val="0000ff"/>
          <w:u w:val="single"/>
          <w:shd w:val="solid" w:color="ffffff" w:fill="ffffff"/>
        </w:rPr>
        <w:t xml:space="preserve"> alle Province</w:t>
      </w:r>
      <w:r>
        <w:rPr>
          <w:rStyle w:val="T13"/>
          <w:b/>
          <w:i/>
          <w:color w:val="0000ff"/>
          <w:u w:val="single"/>
          <w:shd w:val="solid" w:color="ffffff" w:fill="ffffff"/>
        </w:rPr>
        <w:t>, perché la documentazione regionale del caso NON può costituire a nessun titolo “endoprocedimento” in quanto non viene rilasciata nessuna autorizzazione ai sensi dell’art. 9 del CdS.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ff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b/>
          <w:i/>
          <w:color w:val="0000ff"/>
          <w:u w:val="single"/>
          <w:shd w:val="solid" w:color="ffffff" w:fill="ffffff"/>
        </w:rPr>
        <w:t>Saranno gli Organizzatori ad interagire nel merito con gli</w:t>
      </w:r>
      <w:r>
        <w:rPr>
          <w:rStyle w:val="T13"/>
          <w:b/>
          <w:i/>
          <w:color w:val="0000ff"/>
          <w:u w:val="single"/>
          <w:shd w:val="solid" w:color="ffffff" w:fill="ffffff"/>
        </w:rPr>
        <w:t xml:space="preserve"> Enti preposti al rilascio dell’autorizzazione relativa alla manifestazione, o con i competenti Uffici della Regione Toscana nei casi residuali.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hd w:val="solid" w:color="ffffff" w:fill="ffffff"/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ff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hd w:val="solid" w:color="ffffff" w:fill="ffffff"/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ff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ff"/>
          <w:sz w:val="24"/>
          <w:szCs w:val="24"/>
          <w:u w:val="single"/>
          <w:shd w:val="solid" w:color="ffffff" w:fill="ffffff"/>
          <w:lang w:val="it-IT"/>
        </w:rPr>
        <w:t>INFINE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hd w:val="solid" w:color="ffffff" w:fill="ffffff"/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ff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hd w:val="solid" w:color="ffffff" w:fill="ffffff"/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ff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ff"/>
          <w:sz w:val="24"/>
          <w:szCs w:val="24"/>
          <w:u w:val="single"/>
          <w:shd w:val="solid" w:color="ffffff" w:fill="ffffff"/>
          <w:lang w:val="it-IT"/>
        </w:rPr>
        <w:t>Per ogni informazione e modulistica: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hd w:val="solid" w:color="ffffff" w:fill="ffffff"/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ff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hd w:val="solid" w:color="ffffff" w:fill="ffffff"/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ff"/>
          <w:sz w:val="24"/>
          <w:szCs w:val="24"/>
          <w:u w:val="single"/>
          <w:shd w:val="solid" w:color="ffffff" w:fill="ffffff"/>
          <w:lang w:val="it-IT"/>
        </w:rPr>
      </w:pPr>
      <w:r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ff"/>
          <w:sz w:val="24"/>
          <w:szCs w:val="24"/>
          <w:u w:val="single"/>
          <w:shd w:val="solid" w:color="ffffff" w:fill="ffffff"/>
          <w:lang w:val="it-IT"/>
        </w:rPr>
        <w:t>https://www.regione.toscana.it/-/nulla-osta-e-valutazioni-di-incidenza-ambientale</w:t>
      </w: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hd w:val="solid" w:color="ffffff" w:fill="ffffff"/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ff"/>
          <w:sz w:val="24"/>
          <w:szCs w:val="24"/>
          <w:u w:val="single"/>
          <w:shd w:val="solid" w:color="ffffff" w:fill="ffffff"/>
          <w:lang w:val="it-IT"/>
        </w:rPr>
      </w:pPr>
    </w:p>
    <w:p>
      <w:pPr>
        <w:pStyle w:val="P12"/>
        <w:pBdr>
          <w:top w:val="none" w:sz="4" w:space="0"/>
          <w:left w:val="none" w:sz="4" w:space="0"/>
          <w:bottom w:val="none" w:sz="4" w:space="0"/>
          <w:right w:val="none" w:sz="4" w:space="0"/>
        </w:pBdr>
        <w:shd w:val="solid" w:color="ffffff" w:fill="ffffff"/>
        <w:spacing w:line="240" w:lineRule="auto"/>
        <w:jc w:val="left"/>
        <w:rPr>
          <w:rStyle w:val="T13"/>
          <w:rFonts w:ascii="Liberation Serif" w:cs="Tahoma" w:eastAsia="Segoe UI" w:hAnsi="Liberation Serif"/>
          <w:b/>
          <w:i/>
          <w:caps w:val="off"/>
          <w:smallCaps w:val="off"/>
          <w:outline w:val="off"/>
          <w:shadow w:val="off"/>
          <w:emboss w:val="off"/>
          <w:imprint w:val="off"/>
          <w:color w:val="0000ff"/>
          <w:sz w:val="24"/>
          <w:szCs w:val="24"/>
          <w:u w:val="single"/>
          <w:shd w:val="solid" w:color="ffffff" w:fill="ffffff"/>
          <w:lang w:val="it-IT"/>
        </w:rPr>
      </w:pPr>
    </w:p>
    <w:sectPr>
      <w:type w:val="continuous"/>
      <w:pgSz w:w="11905" w:h="16837"/>
      <w:pgMar w:top="1134" w:right="1134" w:bottom="1134" w:left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/>
  <w:font w:name="Liberation Serif">
    <w:charset w:val="00"/>
    <w:family w:val="roman"/>
    <w:pitch w:val="variable"/>
  </w:font>
  <w:font w:name="Segoe UI">
    <w:charset w:val="00"/>
    <w:family w:val="swiss"/>
    <w:pitch w:val="variable"/>
  </w:font>
  <w:font w:name="Tahoma">
    <w:charset w:val="00"/>
    <w:family w:val="swiss"/>
    <w:pitch w:val="variable"/>
    <w:sig w:usb0="61002a87" w:usb1="80000000" w:usb2="00000008" w:usb3="00000000" w:csb0="000001ff" w:csb1="00000000"/>
  </w:font>
  <w:font w:name="Times New Roman">
    <w:charset w:val="00"/>
    <w:family w:val="roman"/>
    <w:pitch w:val="variable"/>
    <w:sig w:usb0="20002a87" w:usb1="80000000" w:usb2="00000008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5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/>
    <w:pPrDefault/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Paragraph-default-50e8eecc-6e9d-499f-a162-22f259624874">
    <w:name w:val="Paragraph-default-50e8eecc-6e9d-499f-a162-22f259624874"/>
    <w:hidden w:val="on"/>
    <w:uiPriority w:val="99"/>
    <w:pPr>
      <w:pBdr>
        <w:top w:val="none" w:sz="4" w:space="0"/>
        <w:left w:val="none" w:sz="4" w:space="0"/>
        <w:bottom w:val="none" w:sz="4" w:space="0"/>
        <w:right w:val="none" w:sz="4" w:space="0"/>
      </w:pBdr>
      <w:spacing w:line="240" w:lineRule="auto"/>
      <w:jc w:val="left"/>
    </w:pPr>
    <w:rPr>
      <w:rFonts w:ascii="Liberation Serif" w:cs="Tahoma" w:eastAsia="Segoe UI" w:hAnsi="Liberation Serif"/>
      <w:b w:val="off"/>
      <w:i w:val="off"/>
      <w:caps w:val="off"/>
      <w:smallCaps w:val="off"/>
      <w:outline w:val="off"/>
      <w:shadow w:val="off"/>
      <w:emboss w:val="off"/>
      <w:imprint w:val="off"/>
      <w:color w:val="000000"/>
      <w:sz w:val="24"/>
      <w:szCs w:val="24"/>
      <w:lang w:val="it-IT"/>
    </w:rPr>
  </w:style>
  <w:style w:type="paragraph" w:styleId="Normale">
    <w:name w:val="Normale"/>
    <w:basedOn w:val="Paragraph-default-50e8eecc-6e9d-499f-a162-22f259624874"/>
    <w:uiPriority w:val="99"/>
    <w:pPr/>
    <w:rPr/>
  </w:style>
  <w:style w:type="character" w:styleId="Car.predefinitoparagrafo">
    <w:name w:val="Car. predefinito paragrafo"/>
    <w:uiPriority w:val="99"/>
    <w:rPr/>
  </w:style>
  <w:style w:type="paragraph" w:styleId="Standard">
    <w:name w:val="Standard"/>
    <w:basedOn w:val="Paragraph-default-50e8eecc-6e9d-499f-a162-22f259624874"/>
    <w:uiPriority w:val="99"/>
    <w:pPr/>
    <w:rPr/>
  </w:style>
  <w:style w:type="paragraph" w:styleId="TableContents">
    <w:name w:val="Table Contents"/>
    <w:basedOn w:val="Standard"/>
    <w:uiPriority w:val="99"/>
    <w:pPr/>
    <w:rPr/>
  </w:style>
  <w:style w:type="paragraph" w:default="1" w:styleId="Graphic-default-3787b308-0124-45e6-9403-5fd8e2c3352d">
    <w:name w:val="Graphic-default-3787b308-0124-45e6-9403-5fd8e2c3352d"/>
    <w:hidden w:val="on"/>
    <w:uiPriority w:val="99"/>
    <w:pPr/>
    <w:rPr/>
  </w:style>
  <w:style w:type="paragraph" w:styleId="P5">
    <w:name w:val="P5"/>
    <w:basedOn w:val="Standard"/>
    <w:hidden w:val="on"/>
    <w:uiPriority w:val="99"/>
    <w:pPr>
      <w:jc w:val="center"/>
    </w:pPr>
    <w:rPr>
      <w:b/>
    </w:rPr>
  </w:style>
  <w:style w:type="paragraph" w:styleId="P6">
    <w:name w:val="P6"/>
    <w:basedOn w:val="Standard"/>
    <w:hidden w:val="on"/>
    <w:uiPriority w:val="99"/>
    <w:pPr>
      <w:jc w:val="center"/>
    </w:pPr>
    <w:rPr>
      <w:b/>
    </w:rPr>
  </w:style>
  <w:style w:type="paragraph" w:styleId="P7">
    <w:name w:val="P7"/>
    <w:basedOn w:val="Standard"/>
    <w:hidden w:val="on"/>
    <w:uiPriority w:val="99"/>
    <w:pPr>
      <w:jc w:val="center"/>
    </w:pPr>
    <w:rPr>
      <w:b/>
    </w:rPr>
  </w:style>
  <w:style w:type="paragraph" w:styleId="P8">
    <w:name w:val="P8"/>
    <w:basedOn w:val="Standard"/>
    <w:hidden w:val="on"/>
    <w:uiPriority w:val="99"/>
    <w:pPr>
      <w:jc w:val="center"/>
    </w:pPr>
    <w:rPr>
      <w:b/>
    </w:rPr>
  </w:style>
  <w:style w:type="paragraph" w:styleId="P9">
    <w:name w:val="P9"/>
    <w:basedOn w:val="Standard"/>
    <w:hidden w:val="on"/>
    <w:uiPriority w:val="99"/>
    <w:pPr>
      <w:jc w:val="both"/>
    </w:pPr>
    <w:rPr>
      <w:b/>
    </w:rPr>
  </w:style>
  <w:style w:type="paragraph" w:styleId="P10">
    <w:name w:val="P10"/>
    <w:basedOn w:val="Standard"/>
    <w:hidden w:val="on"/>
    <w:uiPriority w:val="99"/>
    <w:pPr>
      <w:jc w:val="both"/>
    </w:pPr>
    <w:rPr>
      <w:b/>
      <w:u w:val="single"/>
    </w:rPr>
  </w:style>
  <w:style w:type="paragraph" w:styleId="P11">
    <w:name w:val="P11"/>
    <w:basedOn w:val="Standard"/>
    <w:hidden w:val="on"/>
    <w:uiPriority w:val="99"/>
    <w:pPr>
      <w:jc w:val="both"/>
    </w:pPr>
    <w:rPr>
      <w:b/>
    </w:rPr>
  </w:style>
  <w:style w:type="paragraph" w:styleId="P12">
    <w:name w:val="P12"/>
    <w:basedOn w:val="Standard"/>
    <w:hidden w:val="on"/>
    <w:uiPriority w:val="99"/>
    <w:pPr>
      <w:jc w:val="both"/>
    </w:pPr>
    <w:rPr/>
  </w:style>
  <w:style w:type="character" w:styleId="T13">
    <w:name w:val="T13"/>
    <w:basedOn w:val="Car.predefinitoparagrafo"/>
    <w:hidden w:val="on"/>
    <w:uiPriority w:val="99"/>
    <w:rPr>
      <w:b/>
    </w:rPr>
  </w:style>
  <w:style w:type="character" w:styleId="T14">
    <w:name w:val="T14"/>
    <w:basedOn w:val="Car.predefinitoparagrafo"/>
    <w:hidden w:val="on"/>
    <w:uiPriority w:val="99"/>
    <w:rPr>
      <w:b/>
    </w:rPr>
  </w:style>
  <w:style w:type="paragraph" w:styleId="P15">
    <w:name w:val="P15"/>
    <w:basedOn w:val="Standard"/>
    <w:hidden w:val="on"/>
    <w:uiPriority w:val="99"/>
    <w:pPr>
      <w:jc w:val="both"/>
    </w:pPr>
    <w:rPr/>
  </w:style>
  <w:style w:type="character" w:styleId="T16">
    <w:name w:val="T16"/>
    <w:basedOn w:val="Car.predefinitoparagrafo"/>
    <w:hidden w:val="on"/>
    <w:uiPriority w:val="99"/>
    <w:rPr>
      <w:b/>
    </w:rPr>
  </w:style>
  <w:style w:type="paragraph" w:styleId="P17">
    <w:name w:val="P17"/>
    <w:basedOn w:val="Standard"/>
    <w:hidden w:val="on"/>
    <w:uiPriority w:val="99"/>
    <w:pPr>
      <w:jc w:val="both"/>
    </w:pPr>
    <w:rPr>
      <w:b/>
    </w:rPr>
  </w:style>
  <w:style w:type="paragraph" w:styleId="P18">
    <w:name w:val="P18"/>
    <w:basedOn w:val="Standard"/>
    <w:hidden w:val="on"/>
    <w:uiPriority w:val="99"/>
    <w:pPr>
      <w:jc w:val="both"/>
    </w:pPr>
    <w:rPr>
      <w:b/>
    </w:rPr>
  </w:style>
  <w:style w:type="paragraph" w:styleId="P19">
    <w:name w:val="P19"/>
    <w:basedOn w:val="Standard"/>
    <w:hidden w:val="on"/>
    <w:uiPriority w:val="99"/>
    <w:pPr>
      <w:jc w:val="both"/>
    </w:pPr>
    <w:rPr>
      <w:b/>
    </w:rPr>
  </w:style>
  <w:style w:type="paragraph" w:styleId="P20">
    <w:name w:val="P20"/>
    <w:basedOn w:val="Standard"/>
    <w:hidden w:val="on"/>
    <w:uiPriority w:val="99"/>
    <w:pPr>
      <w:jc w:val="both"/>
    </w:pPr>
    <w:rPr>
      <w:b/>
    </w:rPr>
  </w:style>
  <w:style w:type="paragraph" w:styleId="P21">
    <w:name w:val="P21"/>
    <w:basedOn w:val="Standard"/>
    <w:hidden w:val="on"/>
    <w:uiPriority w:val="99"/>
    <w:pPr>
      <w:jc w:val="both"/>
    </w:pPr>
    <w:rPr>
      <w:b/>
    </w:rPr>
  </w:style>
  <w:style w:type="paragraph" w:styleId="P22">
    <w:name w:val="P22"/>
    <w:basedOn w:val="Standard"/>
    <w:hidden w:val="on"/>
    <w:uiPriority w:val="99"/>
    <w:pPr>
      <w:jc w:val="both"/>
    </w:pPr>
    <w:rPr>
      <w:b/>
    </w:rPr>
  </w:style>
  <w:style w:type="paragraph" w:styleId="P23">
    <w:name w:val="P23"/>
    <w:basedOn w:val="Standard"/>
    <w:hidden w:val="on"/>
    <w:uiPriority w:val="99"/>
    <w:pPr>
      <w:jc w:val="both"/>
    </w:pPr>
    <w:rPr/>
  </w:style>
  <w:style w:type="character" w:styleId="T24">
    <w:name w:val="T24"/>
    <w:basedOn w:val="Car.predefinitoparagrafo"/>
    <w:hidden w:val="on"/>
    <w:uiPriority w:val="99"/>
    <w:rPr>
      <w:color w:val="0000ff"/>
    </w:rPr>
  </w:style>
  <w:style w:type="paragraph" w:styleId="P25">
    <w:name w:val="P25"/>
    <w:basedOn w:val="Standard"/>
    <w:hidden w:val="on"/>
    <w:uiPriority w:val="99"/>
    <w:pPr>
      <w:jc w:val="both"/>
    </w:pPr>
    <w:rPr/>
  </w:style>
  <w:style w:type="character" w:styleId="T26">
    <w:name w:val="T26"/>
    <w:basedOn w:val="Car.predefinitoparagrafo"/>
    <w:hidden w:val="on"/>
    <w:uiPriority w:val="99"/>
    <w:rPr>
      <w:b/>
      <w:u w:val="single"/>
    </w:rPr>
  </w:style>
  <w:style w:type="paragraph" w:styleId="P27">
    <w:name w:val="P27"/>
    <w:basedOn w:val="Standard"/>
    <w:hidden w:val="on"/>
    <w:uiPriority w:val="99"/>
    <w:pPr>
      <w:jc w:val="both"/>
    </w:pPr>
    <w:rPr/>
  </w:style>
  <w:style w:type="paragraph" w:styleId="P28">
    <w:name w:val="P28"/>
    <w:basedOn w:val="Standard"/>
    <w:hidden w:val="on"/>
    <w:uiPriority w:val="99"/>
    <w:pPr>
      <w:jc w:val="both"/>
    </w:pPr>
    <w:rPr/>
  </w:style>
  <w:style w:type="character" w:styleId="T29">
    <w:name w:val="T29"/>
    <w:basedOn w:val="Car.predefinitoparagrafo"/>
    <w:hidden w:val="on"/>
    <w:uiPriority w:val="99"/>
    <w:rPr>
      <w:b/>
    </w:rPr>
  </w:style>
  <w:style w:type="character" w:styleId="T30">
    <w:name w:val="T30"/>
    <w:basedOn w:val="Car.predefinitoparagrafo"/>
    <w:hidden w:val="on"/>
    <w:uiPriority w:val="99"/>
    <w:rPr>
      <w:b/>
      <w:u w:val="single"/>
    </w:rPr>
  </w:style>
  <w:style w:type="character" w:styleId="T31">
    <w:name w:val="T31"/>
    <w:basedOn w:val="Car.predefinitoparagrafo"/>
    <w:hidden w:val="on"/>
    <w:uiPriority w:val="99"/>
    <w:rPr>
      <w:color w:val="0000ff"/>
    </w:rPr>
  </w:style>
  <w:style w:type="paragraph" w:styleId="P32">
    <w:name w:val="P32"/>
    <w:basedOn w:val="Standard"/>
    <w:hidden w:val="on"/>
    <w:uiPriority w:val="99"/>
    <w:pPr>
      <w:jc w:val="both"/>
    </w:pPr>
    <w:rPr/>
  </w:style>
  <w:style w:type="paragraph" w:styleId="P33">
    <w:name w:val="P33"/>
    <w:basedOn w:val="Standard"/>
    <w:hidden w:val="on"/>
    <w:uiPriority w:val="99"/>
    <w:pPr>
      <w:jc w:val="both"/>
    </w:pPr>
    <w:rPr/>
  </w:style>
  <w:style w:type="character" w:styleId="T34">
    <w:name w:val="T34"/>
    <w:basedOn w:val="Car.predefinitoparagrafo"/>
    <w:hidden w:val="on"/>
    <w:uiPriority w:val="99"/>
    <w:rPr>
      <w:shd w:val="solid" w:color="ffffff" w:fill="ffffff"/>
    </w:rPr>
  </w:style>
  <w:style w:type="character" w:styleId="T35">
    <w:name w:val="T35"/>
    <w:basedOn w:val="Car.predefinitoparagrafo"/>
    <w:hidden w:val="on"/>
    <w:uiPriority w:val="99"/>
    <w:rPr>
      <w:b/>
      <w:u w:val="single"/>
      <w:shd w:val="solid" w:color="ffffff" w:fill="ffffff"/>
    </w:rPr>
  </w:style>
  <w:style w:type="paragraph" w:styleId="P36">
    <w:name w:val="P36"/>
    <w:basedOn w:val="Standard"/>
    <w:hidden w:val="on"/>
    <w:uiPriority w:val="99"/>
    <w:pPr>
      <w:jc w:val="both"/>
    </w:pPr>
    <w:rPr>
      <w:u w:val="single"/>
    </w:rPr>
  </w:style>
  <w:style w:type="paragraph" w:styleId="P37">
    <w:name w:val="P37"/>
    <w:basedOn w:val="Standard"/>
    <w:hidden w:val="on"/>
    <w:uiPriority w:val="99"/>
    <w:pPr>
      <w:jc w:val="both"/>
    </w:pPr>
    <w:rPr>
      <w:b/>
    </w:rPr>
  </w:style>
  <w:style w:type="paragraph" w:styleId="P38">
    <w:name w:val="P38"/>
    <w:basedOn w:val="Standard"/>
    <w:hidden w:val="on"/>
    <w:uiPriority w:val="99"/>
    <w:pPr>
      <w:jc w:val="both"/>
    </w:pPr>
    <w:rPr>
      <w:b/>
      <w:u w:val="single"/>
    </w:rPr>
  </w:style>
  <w:style w:type="paragraph" w:styleId="P39">
    <w:name w:val="P39"/>
    <w:basedOn w:val="Standard"/>
    <w:hidden w:val="on"/>
    <w:uiPriority w:val="99"/>
    <w:pPr>
      <w:jc w:val="both"/>
    </w:pPr>
    <w:rPr>
      <w:b/>
      <w:u w:val="single"/>
    </w:rPr>
  </w:style>
  <w:style w:type="paragraph" w:styleId="P40">
    <w:name w:val="P40"/>
    <w:basedOn w:val="Standard"/>
    <w:hidden w:val="on"/>
    <w:uiPriority w:val="99"/>
    <w:pPr>
      <w:jc w:val="both"/>
    </w:pPr>
    <w:rPr/>
  </w:style>
  <w:style w:type="character" w:styleId="T41">
    <w:name w:val="T41"/>
    <w:basedOn w:val="Car.predefinitoparagrafo"/>
    <w:hidden w:val="on"/>
    <w:uiPriority w:val="99"/>
    <w:rPr>
      <w:b/>
    </w:rPr>
  </w:style>
  <w:style w:type="character" w:styleId="T42">
    <w:name w:val="T42"/>
    <w:basedOn w:val="Car.predefinitoparagrafo"/>
    <w:hidden w:val="on"/>
    <w:uiPriority w:val="99"/>
    <w:rPr>
      <w:b/>
      <w:u w:val="single"/>
    </w:rPr>
  </w:style>
  <w:style w:type="character" w:styleId="T43">
    <w:name w:val="T43"/>
    <w:basedOn w:val="Car.predefinitoparagrafo"/>
    <w:hidden w:val="on"/>
    <w:uiPriority w:val="99"/>
    <w:rPr>
      <w:b/>
    </w:rPr>
  </w:style>
  <w:style w:type="paragraph" w:styleId="P44">
    <w:name w:val="P44"/>
    <w:basedOn w:val="Standard"/>
    <w:hidden w:val="on"/>
    <w:uiPriority w:val="99"/>
    <w:pPr>
      <w:jc w:val="center"/>
    </w:pPr>
    <w:rPr>
      <w:b/>
    </w:rPr>
  </w:style>
  <w:style w:type="paragraph" w:styleId="P45">
    <w:name w:val="P45"/>
    <w:basedOn w:val="Standard"/>
    <w:hidden w:val="on"/>
    <w:uiPriority w:val="99"/>
    <w:pPr>
      <w:jc w:val="center"/>
    </w:pPr>
    <w:rPr>
      <w:b/>
    </w:rPr>
  </w:style>
  <w:style w:type="paragraph" w:styleId="P46">
    <w:name w:val="P46"/>
    <w:basedOn w:val="Standard"/>
    <w:hidden w:val="on"/>
    <w:uiPriority w:val="99"/>
    <w:pPr>
      <w:jc w:val="center"/>
    </w:pPr>
    <w:rPr>
      <w:b/>
      <w:u w:val="single"/>
    </w:rPr>
  </w:style>
  <w:style w:type="paragraph" w:styleId="P47">
    <w:name w:val="P47"/>
    <w:basedOn w:val="Standard"/>
    <w:hidden w:val="on"/>
    <w:uiPriority w:val="99"/>
    <w:pPr>
      <w:jc w:val="both"/>
    </w:pPr>
    <w:rPr/>
  </w:style>
  <w:style w:type="paragraph" w:styleId="P48">
    <w:name w:val="P48"/>
    <w:basedOn w:val="Standard"/>
    <w:hidden w:val="on"/>
    <w:uiPriority w:val="99"/>
    <w:pPr>
      <w:jc w:val="both"/>
    </w:pPr>
    <w:rPr/>
  </w:style>
  <w:style w:type="character" w:styleId="T49">
    <w:name w:val="T49"/>
    <w:basedOn w:val="Car.predefinitoparagrafo"/>
    <w:hidden w:val="on"/>
    <w:uiPriority w:val="99"/>
    <w:rPr>
      <w:b/>
      <w:i/>
    </w:rPr>
  </w:style>
  <w:style w:type="character" w:styleId="T50">
    <w:name w:val="T50"/>
    <w:basedOn w:val="Car.predefinitoparagrafo"/>
    <w:hidden w:val="on"/>
    <w:uiPriority w:val="99"/>
    <w:rPr>
      <w:u w:val="single"/>
    </w:rPr>
  </w:style>
  <w:style w:type="character" w:styleId="T51">
    <w:name w:val="T51"/>
    <w:basedOn w:val="Car.predefinitoparagrafo"/>
    <w:hidden w:val="on"/>
    <w:uiPriority w:val="99"/>
    <w:rPr>
      <w:b/>
      <w:u w:val="single"/>
    </w:rPr>
  </w:style>
  <w:style w:type="character" w:styleId="T52">
    <w:name w:val="T52"/>
    <w:basedOn w:val="Car.predefinitoparagrafo"/>
    <w:hidden w:val="on"/>
    <w:uiPriority w:val="99"/>
    <w:rPr>
      <w:b/>
      <w:u w:val="single"/>
    </w:rPr>
  </w:style>
  <w:style w:type="paragraph" w:styleId="P53">
    <w:name w:val="P53"/>
    <w:basedOn w:val="Standard"/>
    <w:hidden w:val="on"/>
    <w:uiPriority w:val="99"/>
    <w:pPr>
      <w:jc w:val="both"/>
    </w:pPr>
    <w:rPr/>
  </w:style>
  <w:style w:type="paragraph" w:styleId="P54">
    <w:name w:val="P54"/>
    <w:basedOn w:val="Standard"/>
    <w:hidden w:val="on"/>
    <w:uiPriority w:val="99"/>
    <w:pPr>
      <w:jc w:val="both"/>
    </w:pPr>
    <w:rPr>
      <w:i/>
    </w:rPr>
  </w:style>
  <w:style w:type="paragraph" w:styleId="P55">
    <w:name w:val="P55"/>
    <w:basedOn w:val="Standard"/>
    <w:hidden w:val="on"/>
    <w:uiPriority w:val="99"/>
    <w:pPr>
      <w:jc w:val="both"/>
    </w:pPr>
    <w:rPr>
      <w:i/>
    </w:rPr>
  </w:style>
  <w:style w:type="paragraph" w:styleId="P56">
    <w:name w:val="P56"/>
    <w:basedOn w:val="Standard"/>
    <w:hidden w:val="on"/>
    <w:uiPriority w:val="99"/>
    <w:pPr>
      <w:jc w:val="both"/>
    </w:pPr>
    <w:rPr/>
  </w:style>
  <w:style w:type="character" w:styleId="T57">
    <w:name w:val="T57"/>
    <w:basedOn w:val="Car.predefinitoparagrafo"/>
    <w:hidden w:val="on"/>
    <w:uiPriority w:val="99"/>
    <w:rPr>
      <w:b/>
      <w:i/>
    </w:rPr>
  </w:style>
  <w:style w:type="character" w:styleId="T58">
    <w:name w:val="T58"/>
    <w:basedOn w:val="Car.predefinitoparagrafo"/>
    <w:hidden w:val="on"/>
    <w:uiPriority w:val="99"/>
    <w:rPr>
      <w:b/>
    </w:rPr>
  </w:style>
  <w:style w:type="character" w:styleId="T59">
    <w:name w:val="T59"/>
    <w:basedOn w:val="Car.predefinitoparagrafo"/>
    <w:hidden w:val="on"/>
    <w:uiPriority w:val="99"/>
    <w:rPr>
      <w:b/>
      <w:u w:val="single"/>
    </w:rPr>
  </w:style>
  <w:style w:type="character" w:styleId="T60">
    <w:name w:val="T60"/>
    <w:basedOn w:val="Car.predefinitoparagrafo"/>
    <w:hidden w:val="on"/>
    <w:uiPriority w:val="99"/>
    <w:rPr>
      <w:u w:val="single"/>
    </w:rPr>
  </w:style>
  <w:style w:type="paragraph" w:styleId="P61">
    <w:name w:val="P61"/>
    <w:basedOn w:val="Standard"/>
    <w:hidden w:val="on"/>
    <w:uiPriority w:val="99"/>
    <w:pPr>
      <w:jc w:val="both"/>
    </w:pPr>
    <w:rPr/>
  </w:style>
  <w:style w:type="paragraph" w:styleId="P62">
    <w:name w:val="P62"/>
    <w:basedOn w:val="Standard"/>
    <w:hidden w:val="on"/>
    <w:uiPriority w:val="99"/>
    <w:pPr>
      <w:jc w:val="both"/>
    </w:pPr>
    <w:rPr>
      <w:i/>
    </w:rPr>
  </w:style>
  <w:style w:type="paragraph" w:styleId="P63">
    <w:name w:val="P63"/>
    <w:basedOn w:val="Standard"/>
    <w:hidden w:val="on"/>
    <w:uiPriority w:val="99"/>
    <w:pPr>
      <w:jc w:val="both"/>
    </w:pPr>
    <w:rPr/>
  </w:style>
  <w:style w:type="paragraph" w:styleId="P64">
    <w:name w:val="P64"/>
    <w:basedOn w:val="Standard"/>
    <w:hidden w:val="on"/>
    <w:uiPriority w:val="99"/>
    <w:pPr>
      <w:jc w:val="both"/>
    </w:pPr>
    <w:rPr/>
  </w:style>
  <w:style w:type="character" w:styleId="T65">
    <w:name w:val="T65"/>
    <w:basedOn w:val="Car.predefinitoparagrafo"/>
    <w:hidden w:val="on"/>
    <w:uiPriority w:val="99"/>
    <w:rPr>
      <w:b/>
      <w:i/>
    </w:rPr>
  </w:style>
  <w:style w:type="character" w:styleId="T66">
    <w:name w:val="T66"/>
    <w:basedOn w:val="Car.predefinitoparagrafo"/>
    <w:hidden w:val="on"/>
    <w:uiPriority w:val="99"/>
    <w:rPr>
      <w:b/>
      <w:i/>
    </w:rPr>
  </w:style>
  <w:style w:type="character" w:styleId="T67">
    <w:name w:val="T67"/>
    <w:basedOn w:val="Car.predefinitoparagrafo"/>
    <w:hidden w:val="on"/>
    <w:uiPriority w:val="99"/>
    <w:rPr>
      <w:i/>
    </w:rPr>
  </w:style>
  <w:style w:type="character" w:styleId="T68">
    <w:name w:val="T68"/>
    <w:basedOn w:val="Car.predefinitoparagrafo"/>
    <w:hidden w:val="on"/>
    <w:uiPriority w:val="99"/>
    <w:rPr>
      <w:b/>
      <w:u w:val="single"/>
    </w:rPr>
  </w:style>
  <w:style w:type="character" w:styleId="T69">
    <w:name w:val="T69"/>
    <w:basedOn w:val="Car.predefinitoparagrafo"/>
    <w:hidden w:val="on"/>
    <w:uiPriority w:val="99"/>
    <w:rPr>
      <w:u w:val="single"/>
    </w:rPr>
  </w:style>
  <w:style w:type="character" w:styleId="T70">
    <w:name w:val="T70"/>
    <w:basedOn w:val="Car.predefinitoparagrafo"/>
    <w:hidden w:val="on"/>
    <w:uiPriority w:val="99"/>
    <w:rPr>
      <w:b/>
      <w:u w:val="single"/>
    </w:rPr>
  </w:style>
  <w:style w:type="paragraph" w:styleId="P71">
    <w:name w:val="P71"/>
    <w:basedOn w:val="Standard"/>
    <w:hidden w:val="on"/>
    <w:uiPriority w:val="99"/>
    <w:pPr>
      <w:jc w:val="both"/>
    </w:pPr>
    <w:rPr/>
  </w:style>
  <w:style w:type="character" w:styleId="T72">
    <w:name w:val="T72"/>
    <w:basedOn w:val="Car.predefinitoparagrafo"/>
    <w:hidden w:val="on"/>
    <w:uiPriority w:val="99"/>
    <w:rPr>
      <w:i/>
      <w:u w:val="single"/>
    </w:rPr>
  </w:style>
  <w:style w:type="character" w:styleId="T73">
    <w:name w:val="T73"/>
    <w:basedOn w:val="Car.predefinitoparagrafo"/>
    <w:hidden w:val="on"/>
    <w:uiPriority w:val="99"/>
    <w:rPr>
      <w:i/>
      <w:u w:val="single"/>
    </w:rPr>
  </w:style>
  <w:style w:type="character" w:styleId="T74">
    <w:name w:val="T74"/>
    <w:basedOn w:val="Car.predefinitoparagrafo"/>
    <w:hidden w:val="on"/>
    <w:uiPriority w:val="99"/>
    <w:rPr>
      <w:u w:val="single"/>
    </w:rPr>
  </w:style>
  <w:style w:type="paragraph" w:styleId="P75">
    <w:name w:val="P75"/>
    <w:basedOn w:val="Standard"/>
    <w:hidden w:val="on"/>
    <w:uiPriority w:val="99"/>
    <w:pPr>
      <w:jc w:val="both"/>
    </w:pPr>
    <w:rPr/>
  </w:style>
  <w:style w:type="character" w:styleId="T76">
    <w:name w:val="T76"/>
    <w:basedOn w:val="Car.predefinitoparagrafo"/>
    <w:hidden w:val="on"/>
    <w:uiPriority w:val="99"/>
    <w:rPr>
      <w:u w:val="single"/>
    </w:rPr>
  </w:style>
  <w:style w:type="character" w:styleId="T77">
    <w:name w:val="T77"/>
    <w:basedOn w:val="Car.predefinitoparagrafo"/>
    <w:hidden w:val="on"/>
    <w:uiPriority w:val="99"/>
    <w:rPr>
      <w:i/>
      <w:u w:val="single"/>
    </w:rPr>
  </w:style>
  <w:style w:type="paragraph" w:styleId="P78">
    <w:name w:val="P78"/>
    <w:basedOn w:val="Standard"/>
    <w:hidden w:val="on"/>
    <w:uiPriority w:val="99"/>
    <w:pPr>
      <w:jc w:val="both"/>
    </w:pPr>
    <w:rPr/>
  </w:style>
  <w:style w:type="character" w:styleId="T79">
    <w:name w:val="T79"/>
    <w:basedOn w:val="Car.predefinitoparagrafo"/>
    <w:hidden w:val="on"/>
    <w:uiPriority w:val="99"/>
    <w:rPr>
      <w:u w:val="single"/>
    </w:rPr>
  </w:style>
  <w:style w:type="character" w:styleId="T80">
    <w:name w:val="T80"/>
    <w:basedOn w:val="Car.predefinitoparagrafo"/>
    <w:hidden w:val="on"/>
    <w:uiPriority w:val="99"/>
    <w:rPr>
      <w:i/>
      <w:u w:val="single"/>
    </w:rPr>
  </w:style>
  <w:style w:type="paragraph" w:styleId="P81">
    <w:name w:val="P81"/>
    <w:basedOn w:val="Standard"/>
    <w:hidden w:val="on"/>
    <w:uiPriority w:val="99"/>
    <w:pPr>
      <w:jc w:val="both"/>
    </w:pPr>
    <w:rPr/>
  </w:style>
  <w:style w:type="paragraph" w:styleId="P82">
    <w:name w:val="P82"/>
    <w:basedOn w:val="Standard"/>
    <w:hidden w:val="on"/>
    <w:uiPriority w:val="99"/>
    <w:pPr>
      <w:jc w:val="both"/>
    </w:pPr>
    <w:rPr>
      <w:i/>
    </w:rPr>
  </w:style>
  <w:style w:type="paragraph" w:styleId="P83">
    <w:name w:val="P83"/>
    <w:basedOn w:val="Standard"/>
    <w:hidden w:val="on"/>
    <w:uiPriority w:val="99"/>
    <w:pPr>
      <w:jc w:val="both"/>
    </w:pPr>
    <w:rPr/>
  </w:style>
  <w:style w:type="paragraph" w:styleId="P84">
    <w:name w:val="P84"/>
    <w:basedOn w:val="Standard"/>
    <w:hidden w:val="on"/>
    <w:uiPriority w:val="99"/>
    <w:pPr>
      <w:jc w:val="both"/>
    </w:pPr>
    <w:rPr/>
  </w:style>
  <w:style w:type="character" w:styleId="T85">
    <w:name w:val="T85"/>
    <w:basedOn w:val="Car.predefinitoparagrafo"/>
    <w:hidden w:val="on"/>
    <w:uiPriority w:val="99"/>
    <w:rPr>
      <w:b/>
      <w:u w:val="single"/>
    </w:rPr>
  </w:style>
  <w:style w:type="paragraph" w:styleId="P86">
    <w:name w:val="P86"/>
    <w:basedOn w:val="Standard"/>
    <w:hidden w:val="on"/>
    <w:uiPriority w:val="99"/>
    <w:pPr>
      <w:jc w:val="both"/>
    </w:pPr>
    <w:rPr/>
  </w:style>
  <w:style w:type="character" w:styleId="T87">
    <w:name w:val="T87"/>
    <w:basedOn w:val="Car.predefinitoparagrafo"/>
    <w:hidden w:val="on"/>
    <w:uiPriority w:val="99"/>
    <w:rPr>
      <w:shd w:val="solid" w:color="ffffff" w:fill="ffffff"/>
    </w:rPr>
  </w:style>
  <w:style w:type="character" w:styleId="T88">
    <w:name w:val="T88"/>
    <w:basedOn w:val="Car.predefinitoparagrafo"/>
    <w:hidden w:val="on"/>
    <w:uiPriority w:val="99"/>
    <w:rPr>
      <w:shd w:val="solid" w:color="ffffff" w:fill="ffffff"/>
    </w:rPr>
  </w:style>
  <w:style w:type="character" w:styleId="T89">
    <w:name w:val="T89"/>
    <w:basedOn w:val="Car.predefinitoparagrafo"/>
    <w:hidden w:val="on"/>
    <w:uiPriority w:val="99"/>
    <w:rPr>
      <w:u w:val="single"/>
      <w:shd w:val="solid" w:color="ffffff" w:fill="ffffff"/>
    </w:rPr>
  </w:style>
  <w:style w:type="character" w:styleId="T90">
    <w:name w:val="T90"/>
    <w:basedOn w:val="Car.predefinitoparagrafo"/>
    <w:hidden w:val="on"/>
    <w:uiPriority w:val="99"/>
    <w:rPr>
      <w:shd w:val="solid" w:color="ffffff" w:fill="ffffff"/>
    </w:rPr>
  </w:style>
  <w:style w:type="character" w:styleId="T91">
    <w:name w:val="T91"/>
    <w:basedOn w:val="Car.predefinitoparagrafo"/>
    <w:hidden w:val="on"/>
    <w:uiPriority w:val="99"/>
    <w:rPr>
      <w:shd w:val="solid" w:color="ffffff" w:fill="ffffff"/>
    </w:rPr>
  </w:style>
  <w:style w:type="character" w:styleId="T92">
    <w:name w:val="T92"/>
    <w:basedOn w:val="Car.predefinitoparagrafo"/>
    <w:hidden w:val="on"/>
    <w:uiPriority w:val="99"/>
    <w:rPr>
      <w:u w:val="single"/>
      <w:shd w:val="solid" w:color="ffffff" w:fill="ffffff"/>
    </w:rPr>
  </w:style>
  <w:style w:type="paragraph" w:styleId="P93">
    <w:name w:val="P93"/>
    <w:basedOn w:val="Standard"/>
    <w:hidden w:val="on"/>
    <w:uiPriority w:val="99"/>
    <w:pPr>
      <w:jc w:val="both"/>
    </w:pPr>
    <w:rPr/>
  </w:style>
  <w:style w:type="paragraph" w:styleId="P94">
    <w:name w:val="P94"/>
    <w:basedOn w:val="Standard"/>
    <w:hidden w:val="on"/>
    <w:uiPriority w:val="99"/>
    <w:pPr>
      <w:jc w:val="both"/>
    </w:pPr>
    <w:rPr>
      <w:b/>
    </w:rPr>
  </w:style>
  <w:style w:type="paragraph" w:styleId="P95">
    <w:name w:val="P95"/>
    <w:basedOn w:val="Standard"/>
    <w:hidden w:val="on"/>
    <w:uiPriority w:val="99"/>
    <w:pPr>
      <w:jc w:val="center"/>
    </w:pPr>
    <w:rPr>
      <w:b/>
    </w:rPr>
  </w:style>
  <w:style w:type="paragraph" w:styleId="P96">
    <w:name w:val="P96"/>
    <w:basedOn w:val="Standard"/>
    <w:hidden w:val="on"/>
    <w:uiPriority w:val="99"/>
    <w:pPr>
      <w:jc w:val="center"/>
    </w:pPr>
    <w:rPr>
      <w:b/>
      <w:u w:val="single"/>
    </w:rPr>
  </w:style>
  <w:style w:type="paragraph" w:styleId="P97">
    <w:name w:val="P97"/>
    <w:basedOn w:val="Standard"/>
    <w:hidden w:val="on"/>
    <w:uiPriority w:val="99"/>
    <w:pPr>
      <w:jc w:val="both"/>
    </w:pPr>
    <w:rPr/>
  </w:style>
  <w:style w:type="paragraph" w:styleId="P98">
    <w:name w:val="P98"/>
    <w:basedOn w:val="Standard"/>
    <w:hidden w:val="on"/>
    <w:uiPriority w:val="99"/>
    <w:pPr>
      <w:jc w:val="both"/>
    </w:pPr>
    <w:rPr/>
  </w:style>
  <w:style w:type="character" w:styleId="T99">
    <w:name w:val="T99"/>
    <w:basedOn w:val="Car.predefinitoparagrafo"/>
    <w:hidden w:val="on"/>
    <w:uiPriority w:val="99"/>
    <w:rPr>
      <w:b/>
    </w:rPr>
  </w:style>
  <w:style w:type="character" w:styleId="T100">
    <w:name w:val="T100"/>
    <w:basedOn w:val="Car.predefinitoparagrafo"/>
    <w:hidden w:val="on"/>
    <w:uiPriority w:val="99"/>
    <w:rPr>
      <w:b/>
    </w:rPr>
  </w:style>
  <w:style w:type="paragraph" w:styleId="P101">
    <w:name w:val="P101"/>
    <w:basedOn w:val="Standard"/>
    <w:hidden w:val="on"/>
    <w:uiPriority w:val="99"/>
    <w:pPr>
      <w:jc w:val="both"/>
    </w:pPr>
    <w:rPr>
      <w:b/>
      <w:u w:val="single"/>
    </w:rPr>
  </w:style>
  <w:style w:type="paragraph" w:styleId="P102">
    <w:name w:val="P102"/>
    <w:basedOn w:val="Standard"/>
    <w:hidden w:val="on"/>
    <w:uiPriority w:val="99"/>
    <w:pPr>
      <w:jc w:val="both"/>
    </w:pPr>
    <w:rPr>
      <w:i/>
    </w:rPr>
  </w:style>
  <w:style w:type="paragraph" w:styleId="P103">
    <w:name w:val="P103"/>
    <w:basedOn w:val="Standard"/>
    <w:hidden w:val="on"/>
    <w:uiPriority w:val="99"/>
    <w:pPr>
      <w:jc w:val="both"/>
    </w:pPr>
    <w:rPr>
      <w:i/>
    </w:rPr>
  </w:style>
  <w:style w:type="paragraph" w:styleId="P104">
    <w:name w:val="P104"/>
    <w:basedOn w:val="Standard"/>
    <w:hidden w:val="on"/>
    <w:uiPriority w:val="99"/>
    <w:pPr>
      <w:jc w:val="both"/>
    </w:pPr>
    <w:rPr>
      <w:i/>
    </w:rPr>
  </w:style>
  <w:style w:type="paragraph" w:styleId="P105">
    <w:name w:val="P105"/>
    <w:basedOn w:val="Standard"/>
    <w:hidden w:val="on"/>
    <w:uiPriority w:val="99"/>
    <w:pPr>
      <w:jc w:val="both"/>
    </w:pPr>
    <w:rPr/>
  </w:style>
  <w:style w:type="paragraph" w:styleId="P106">
    <w:name w:val="P106"/>
    <w:basedOn w:val="Standard"/>
    <w:hidden w:val="on"/>
    <w:uiPriority w:val="99"/>
    <w:pPr>
      <w:jc w:val="both"/>
    </w:pPr>
    <w:rPr/>
  </w:style>
  <w:style w:type="character" w:styleId="T107">
    <w:name w:val="T107"/>
    <w:basedOn w:val="Car.predefinitoparagrafo"/>
    <w:hidden w:val="on"/>
    <w:uiPriority w:val="99"/>
    <w:rPr>
      <w:shd w:val="solid" w:color="ffffff" w:fill="ffffff"/>
    </w:rPr>
  </w:style>
  <w:style w:type="character" w:styleId="T108">
    <w:name w:val="T108"/>
    <w:basedOn w:val="Car.predefinitoparagrafo"/>
    <w:hidden w:val="on"/>
    <w:uiPriority w:val="99"/>
    <w:rPr>
      <w:shd w:val="solid" w:color="ffffff" w:fill="ffffff"/>
    </w:rPr>
  </w:style>
  <w:style w:type="character" w:styleId="T109">
    <w:name w:val="T109"/>
    <w:basedOn w:val="Car.predefinitoparagrafo"/>
    <w:hidden w:val="on"/>
    <w:uiPriority w:val="99"/>
    <w:rPr>
      <w:u w:val="single"/>
      <w:shd w:val="solid" w:color="ffffff" w:fill="ffffff"/>
    </w:rPr>
  </w:style>
  <w:style w:type="character" w:styleId="T110">
    <w:name w:val="T110"/>
    <w:basedOn w:val="Car.predefinitoparagrafo"/>
    <w:hidden w:val="on"/>
    <w:uiPriority w:val="99"/>
    <w:rPr>
      <w:shd w:val="solid" w:color="ffffff" w:fill="ffffff"/>
    </w:rPr>
  </w:style>
  <w:style w:type="character" w:styleId="T111">
    <w:name w:val="T111"/>
    <w:basedOn w:val="Car.predefinitoparagrafo"/>
    <w:hidden w:val="on"/>
    <w:uiPriority w:val="99"/>
    <w:rPr>
      <w:shd w:val="solid" w:color="ffffff" w:fill="ffffff"/>
    </w:rPr>
  </w:style>
  <w:style w:type="character" w:styleId="T112">
    <w:name w:val="T112"/>
    <w:basedOn w:val="Car.predefinitoparagrafo"/>
    <w:hidden w:val="on"/>
    <w:uiPriority w:val="99"/>
    <w:rPr>
      <w:u w:val="single"/>
      <w:shd w:val="solid" w:color="ffffff" w:fill="ffffff"/>
    </w:rPr>
  </w:style>
  <w:style w:type="paragraph" w:styleId="P113">
    <w:name w:val="P113"/>
    <w:basedOn w:val="Standard"/>
    <w:hidden w:val="on"/>
    <w:uiPriority w:val="99"/>
    <w:pPr>
      <w:jc w:val="both"/>
    </w:pPr>
    <w:rPr>
      <w:color w:val="c9211e"/>
    </w:rPr>
  </w:style>
  <w:style w:type="paragraph" w:styleId="P114">
    <w:name w:val="P114"/>
    <w:basedOn w:val="Standard"/>
    <w:hidden w:val="on"/>
    <w:uiPriority w:val="99"/>
    <w:pPr>
      <w:shd w:val="solid" w:color="ffffff" w:fill="ffffff"/>
      <w:jc w:val="both"/>
    </w:pPr>
    <w:rPr>
      <w:b/>
      <w:color w:val="c9211e"/>
      <w:shd w:val="solid" w:color="ffffff" w:fill="ffffff"/>
    </w:rPr>
  </w:style>
  <w:style w:type="paragraph" w:styleId="P115">
    <w:name w:val="P115"/>
    <w:basedOn w:val="Standard"/>
    <w:hidden w:val="on"/>
    <w:uiPriority w:val="99"/>
    <w:pPr>
      <w:shd w:val="solid" w:color="ffffff" w:fill="ffffff"/>
      <w:jc w:val="both"/>
    </w:pPr>
    <w:rPr>
      <w:b/>
      <w:shd w:val="solid" w:color="ffffff" w:fill="ffffff"/>
    </w:rPr>
  </w:style>
  <w:style w:type="paragraph" w:styleId="P116">
    <w:name w:val="P116"/>
    <w:basedOn w:val="Standard"/>
    <w:hidden w:val="on"/>
    <w:uiPriority w:val="99"/>
    <w:pPr>
      <w:jc w:val="both"/>
    </w:pPr>
    <w:rPr/>
  </w:style>
  <w:style w:type="paragraph" w:styleId="P117">
    <w:name w:val="P117"/>
    <w:basedOn w:val="Standard"/>
    <w:hidden w:val="on"/>
    <w:uiPriority w:val="99"/>
    <w:pPr>
      <w:jc w:val="both"/>
    </w:pPr>
    <w:rPr/>
  </w:style>
  <w:style w:type="character" w:styleId="T118">
    <w:name w:val="T118"/>
    <w:basedOn w:val="Car.predefinitoparagrafo"/>
    <w:hidden w:val="on"/>
    <w:uiPriority w:val="99"/>
    <w:rPr>
      <w:b/>
    </w:rPr>
  </w:style>
  <w:style w:type="character" w:styleId="T119">
    <w:name w:val="T119"/>
    <w:basedOn w:val="Car.predefinitoparagrafo"/>
    <w:hidden w:val="on"/>
    <w:uiPriority w:val="99"/>
    <w:rPr>
      <w:b/>
    </w:rPr>
  </w:style>
  <w:style w:type="character" w:styleId="T120">
    <w:name w:val="T120"/>
    <w:basedOn w:val="Car.predefinitoparagrafo"/>
    <w:hidden w:val="on"/>
    <w:uiPriority w:val="99"/>
    <w:rPr>
      <w:b/>
      <w:color w:val="0000ff"/>
    </w:rPr>
  </w:style>
  <w:style w:type="character" w:styleId="T121">
    <w:name w:val="T121"/>
    <w:basedOn w:val="Car.predefinitoparagrafo"/>
    <w:hidden w:val="on"/>
    <w:uiPriority w:val="99"/>
    <w:rPr>
      <w:b/>
    </w:rPr>
  </w:style>
  <w:style w:type="character" w:styleId="T122">
    <w:name w:val="T122"/>
    <w:basedOn w:val="Car.predefinitoparagrafo"/>
    <w:hidden w:val="on"/>
    <w:uiPriority w:val="99"/>
    <w:rPr>
      <w:b/>
    </w:rPr>
  </w:style>
  <w:style w:type="character" w:styleId="T123">
    <w:name w:val="T123"/>
    <w:basedOn w:val="Car.predefinitoparagrafo"/>
    <w:hidden w:val="on"/>
    <w:uiPriority w:val="99"/>
    <w:rPr>
      <w:b/>
    </w:rPr>
  </w:style>
  <w:style w:type="paragraph" w:styleId="P124">
    <w:name w:val="P124"/>
    <w:basedOn w:val="Standard"/>
    <w:hidden w:val="on"/>
    <w:uiPriority w:val="99"/>
    <w:pPr>
      <w:shd w:val="solid" w:color="ffffff" w:fill="ffffff"/>
      <w:jc w:val="both"/>
    </w:pPr>
    <w:rPr>
      <w:shd w:val="solid" w:color="ffffff" w:fill="ffffff"/>
    </w:rPr>
  </w:style>
  <w:style w:type="paragraph" w:styleId="P125">
    <w:name w:val="P125"/>
    <w:basedOn w:val="Standard"/>
    <w:hidden w:val="on"/>
    <w:uiPriority w:val="99"/>
    <w:pPr>
      <w:jc w:val="both"/>
    </w:pPr>
    <w:rPr/>
  </w:style>
  <w:style w:type="character" w:styleId="T126">
    <w:name w:val="T126"/>
    <w:basedOn w:val="Car.predefinitoparagrafo"/>
    <w:hidden w:val="on"/>
    <w:uiPriority w:val="99"/>
    <w:rPr>
      <w:b/>
      <w:shd w:val="solid" w:color="ffffff" w:fill="ffffff"/>
    </w:rPr>
  </w:style>
  <w:style w:type="character" w:styleId="T127">
    <w:name w:val="T127"/>
    <w:basedOn w:val="Car.predefinitoparagrafo"/>
    <w:hidden w:val="on"/>
    <w:uiPriority w:val="99"/>
    <w:rPr>
      <w:b/>
      <w:u w:val="single"/>
      <w:shd w:val="solid" w:color="ffffff" w:fill="ffffff"/>
    </w:rPr>
  </w:style>
  <w:style w:type="character" w:styleId="T128">
    <w:name w:val="T128"/>
    <w:basedOn w:val="Car.predefinitoparagrafo"/>
    <w:hidden w:val="on"/>
    <w:uiPriority w:val="99"/>
    <w:rPr>
      <w:b/>
      <w:shd w:val="solid" w:color="ffffff" w:fill="ffffff"/>
    </w:rPr>
  </w:style>
  <w:style w:type="character" w:styleId="T129">
    <w:name w:val="T129"/>
    <w:basedOn w:val="Car.predefinitoparagrafo"/>
    <w:hidden w:val="on"/>
    <w:uiPriority w:val="99"/>
    <w:rPr>
      <w:b/>
      <w:u w:val="single"/>
      <w:shd w:val="solid" w:color="ffffff" w:fill="ffffff"/>
    </w:rPr>
  </w:style>
  <w:style w:type="character" w:styleId="T130">
    <w:name w:val="T130"/>
    <w:basedOn w:val="Car.predefinitoparagrafo"/>
    <w:hidden w:val="on"/>
    <w:uiPriority w:val="99"/>
    <w:rPr>
      <w:b/>
      <w:u w:val="single"/>
      <w:shd w:val="solid" w:color="ffffff" w:fill="ffffff"/>
    </w:rPr>
  </w:style>
  <w:style w:type="character" w:styleId="T131">
    <w:name w:val="T131"/>
    <w:basedOn w:val="Car.predefinitoparagrafo"/>
    <w:hidden w:val="on"/>
    <w:uiPriority w:val="99"/>
    <w:rPr>
      <w:b/>
      <w:shd w:val="solid" w:color="ffffff" w:fill="ffffff"/>
    </w:rPr>
  </w:style>
  <w:style w:type="paragraph" w:styleId="P132">
    <w:name w:val="P132"/>
    <w:basedOn w:val="Standard"/>
    <w:hidden w:val="on"/>
    <w:uiPriority w:val="99"/>
    <w:pPr>
      <w:jc w:val="both"/>
    </w:pPr>
    <w:rPr/>
  </w:style>
  <w:style w:type="character" w:styleId="T133">
    <w:name w:val="T133"/>
    <w:basedOn w:val="Car.predefinitoparagrafo"/>
    <w:hidden w:val="on"/>
    <w:uiPriority w:val="99"/>
    <w:rPr>
      <w:b/>
      <w:u w:val="single"/>
      <w:shd w:val="solid" w:color="ffffff" w:fill="ffffff"/>
    </w:rPr>
  </w:style>
  <w:style w:type="character" w:styleId="T134">
    <w:name w:val="T134"/>
    <w:basedOn w:val="Car.predefinitoparagrafo"/>
    <w:hidden w:val="on"/>
    <w:uiPriority w:val="99"/>
    <w:rPr>
      <w:b/>
      <w:u w:val="single"/>
      <w:shd w:val="solid" w:color="ffffff" w:fill="ffffff"/>
    </w:rPr>
  </w:style>
  <w:style w:type="paragraph" w:styleId="P135">
    <w:name w:val="P135"/>
    <w:basedOn w:val="Standard"/>
    <w:hidden w:val="on"/>
    <w:uiPriority w:val="99"/>
    <w:pPr>
      <w:shd w:val="solid" w:color="ffffff" w:fill="ffffff"/>
      <w:jc w:val="both"/>
    </w:pPr>
    <w:rPr>
      <w:b/>
      <w:color w:val="c9211e"/>
      <w:shd w:val="solid" w:color="ffffff" w:fill="ffffff"/>
    </w:rPr>
  </w:style>
  <w:style w:type="paragraph" w:styleId="P136">
    <w:name w:val="P136"/>
    <w:basedOn w:val="Standard"/>
    <w:hidden w:val="on"/>
    <w:uiPriority w:val="99"/>
    <w:pPr>
      <w:shd w:val="solid" w:color="ffffff" w:fill="ffffff"/>
      <w:jc w:val="both"/>
    </w:pPr>
    <w:rPr>
      <w:b/>
      <w:shd w:val="solid" w:color="ffffff" w:fill="ffffff"/>
    </w:rPr>
  </w:style>
  <w:style w:type="paragraph" w:styleId="P137">
    <w:name w:val="P137"/>
    <w:basedOn w:val="Standard"/>
    <w:hidden w:val="on"/>
    <w:uiPriority w:val="99"/>
    <w:pPr>
      <w:shd w:val="solid" w:color="ffffff" w:fill="ffffff"/>
      <w:jc w:val="both"/>
    </w:pPr>
    <w:rPr>
      <w:b/>
      <w:shd w:val="solid" w:color="ffffff" w:fill="ffffff"/>
    </w:rPr>
  </w:style>
  <w:style w:type="paragraph" w:styleId="P138">
    <w:name w:val="P138"/>
    <w:basedOn w:val="Standard"/>
    <w:hidden w:val="on"/>
    <w:uiPriority w:val="99"/>
    <w:pPr>
      <w:shd w:val="solid" w:color="ffffff" w:fill="ffffff"/>
      <w:jc w:val="both"/>
    </w:pPr>
    <w:rPr>
      <w:b/>
      <w:shd w:val="solid" w:color="ffffff" w:fill="ffffff"/>
    </w:rPr>
  </w:style>
  <w:style w:type="paragraph" w:styleId="P139">
    <w:name w:val="P139"/>
    <w:basedOn w:val="Standard"/>
    <w:hidden w:val="on"/>
    <w:uiPriority w:val="99"/>
    <w:pPr>
      <w:shd w:val="solid" w:color="ffffff" w:fill="ffffff"/>
      <w:jc w:val="both"/>
    </w:pPr>
    <w:rPr>
      <w:b/>
      <w:shd w:val="solid" w:color="ffffff" w:fill="ffffff"/>
    </w:rPr>
  </w:style>
  <w:style w:type="paragraph" w:styleId="P140">
    <w:name w:val="P140"/>
    <w:basedOn w:val="Standard"/>
    <w:hidden w:val="on"/>
    <w:uiPriority w:val="99"/>
    <w:pPr>
      <w:shd w:val="solid" w:color="ffffff" w:fill="ffffff"/>
      <w:jc w:val="both"/>
    </w:pPr>
    <w:rPr>
      <w:b/>
      <w:u w:val="single"/>
      <w:shd w:val="solid" w:color="ffffff" w:fill="ffffff"/>
    </w:rPr>
  </w:style>
  <w:style w:type="paragraph" w:styleId="P141">
    <w:name w:val="P141"/>
    <w:basedOn w:val="Standard"/>
    <w:hidden w:val="on"/>
    <w:uiPriority w:val="99"/>
    <w:pPr>
      <w:shd w:val="solid" w:color="ffffff" w:fill="ffffff"/>
      <w:jc w:val="both"/>
    </w:pPr>
    <w:rPr>
      <w:b/>
      <w:shd w:val="solid" w:color="ffffff" w:fill="ffffff"/>
    </w:rPr>
  </w:style>
  <w:style w:type="paragraph" w:styleId="P142">
    <w:name w:val="P142"/>
    <w:basedOn w:val="Standard"/>
    <w:hidden w:val="on"/>
    <w:uiPriority w:val="99"/>
    <w:pPr>
      <w:shd w:val="solid" w:color="ffffff" w:fill="ffffff"/>
      <w:jc w:val="both"/>
    </w:pPr>
    <w:rPr>
      <w:b/>
      <w:color w:val="c9211e"/>
      <w:shd w:val="solid" w:color="ffffff" w:fill="ffffff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redefinit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